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B92B80" w14:textId="77777777" w:rsidR="0056737C" w:rsidRPr="00596371" w:rsidRDefault="0056737C" w:rsidP="0056737C">
      <w:pPr>
        <w:pStyle w:val="MemoHeader"/>
        <w:spacing w:before="0" w:after="0" w:afterAutospacing="0"/>
        <w:jc w:val="center"/>
        <w:rPr>
          <w:rFonts w:ascii="Times New Roman" w:hAnsi="Times New Roman"/>
          <w:color w:val="000000" w:themeColor="text1"/>
          <w:sz w:val="24"/>
        </w:rPr>
      </w:pPr>
      <w:bookmarkStart w:id="0" w:name="_GoBack"/>
      <w:bookmarkEnd w:id="0"/>
      <w:r w:rsidRPr="00596371">
        <w:rPr>
          <w:rFonts w:ascii="Times New Roman" w:hAnsi="Times New Roman"/>
          <w:color w:val="000000" w:themeColor="text1"/>
          <w:sz w:val="24"/>
        </w:rPr>
        <w:t>PUC Interoffice Memorandum</w:t>
      </w:r>
    </w:p>
    <w:p w14:paraId="46C6C72F" w14:textId="77777777" w:rsidR="0056737C" w:rsidRPr="00596371" w:rsidRDefault="0056737C" w:rsidP="0056737C">
      <w:pPr>
        <w:spacing w:after="0"/>
        <w:jc w:val="both"/>
        <w:rPr>
          <w:rFonts w:ascii="Times New Roman" w:hAnsi="Times New Roman" w:cs="Times New Roman"/>
          <w:color w:val="000000" w:themeColor="text1"/>
          <w:sz w:val="24"/>
          <w:szCs w:val="24"/>
        </w:rPr>
      </w:pPr>
    </w:p>
    <w:p w14:paraId="52D42F50" w14:textId="625B04B0" w:rsidR="0056737C" w:rsidRPr="00596371" w:rsidRDefault="0056737C" w:rsidP="0056737C">
      <w:pPr>
        <w:tabs>
          <w:tab w:val="left" w:pos="1440"/>
        </w:tabs>
        <w:spacing w:before="480" w:after="240" w:line="240" w:lineRule="auto"/>
        <w:contextualSpacing/>
        <w:rPr>
          <w:rFonts w:ascii="Times New Roman" w:hAnsi="Times New Roman" w:cs="Times New Roman"/>
          <w:color w:val="000000" w:themeColor="text1"/>
          <w:sz w:val="24"/>
          <w:szCs w:val="24"/>
        </w:rPr>
      </w:pPr>
      <w:r w:rsidRPr="00596371">
        <w:rPr>
          <w:rFonts w:ascii="Times New Roman" w:hAnsi="Times New Roman" w:cs="Times New Roman"/>
          <w:b/>
          <w:color w:val="000000" w:themeColor="text1"/>
          <w:sz w:val="24"/>
          <w:szCs w:val="24"/>
        </w:rPr>
        <w:t>To:</w:t>
      </w:r>
      <w:r w:rsidRPr="00596371">
        <w:rPr>
          <w:rFonts w:ascii="Times New Roman" w:hAnsi="Times New Roman" w:cs="Times New Roman"/>
          <w:color w:val="000000" w:themeColor="text1"/>
          <w:sz w:val="24"/>
          <w:szCs w:val="24"/>
        </w:rPr>
        <w:tab/>
      </w:r>
      <w:r w:rsidR="00A328AE">
        <w:rPr>
          <w:rFonts w:ascii="Times New Roman" w:hAnsi="Times New Roman" w:cs="Times New Roman"/>
          <w:color w:val="000000" w:themeColor="text1"/>
          <w:sz w:val="24"/>
          <w:szCs w:val="24"/>
        </w:rPr>
        <w:t>Merritt Lander,</w:t>
      </w:r>
      <w:r w:rsidR="006B5E05">
        <w:rPr>
          <w:rFonts w:ascii="Times New Roman" w:hAnsi="Times New Roman" w:cs="Times New Roman"/>
          <w:color w:val="000000" w:themeColor="text1"/>
          <w:sz w:val="24"/>
          <w:szCs w:val="24"/>
        </w:rPr>
        <w:t xml:space="preserve"> </w:t>
      </w:r>
      <w:r w:rsidRPr="00596371">
        <w:rPr>
          <w:rFonts w:ascii="Times New Roman" w:hAnsi="Times New Roman" w:cs="Times New Roman"/>
          <w:color w:val="000000" w:themeColor="text1"/>
          <w:sz w:val="24"/>
          <w:szCs w:val="24"/>
        </w:rPr>
        <w:t>Attorney</w:t>
      </w:r>
    </w:p>
    <w:p w14:paraId="3127F6B7" w14:textId="77777777" w:rsidR="0056737C" w:rsidRPr="00596371" w:rsidRDefault="0056737C" w:rsidP="0056737C">
      <w:pPr>
        <w:spacing w:before="480" w:after="240" w:line="240" w:lineRule="auto"/>
        <w:ind w:left="1440"/>
        <w:contextualSpacing/>
        <w:rPr>
          <w:rFonts w:ascii="Times New Roman" w:hAnsi="Times New Roman" w:cs="Times New Roman"/>
          <w:color w:val="000000" w:themeColor="text1"/>
          <w:sz w:val="24"/>
          <w:szCs w:val="24"/>
        </w:rPr>
      </w:pPr>
      <w:r w:rsidRPr="00596371">
        <w:rPr>
          <w:rFonts w:ascii="Times New Roman" w:hAnsi="Times New Roman" w:cs="Times New Roman"/>
          <w:color w:val="000000" w:themeColor="text1"/>
          <w:sz w:val="24"/>
          <w:szCs w:val="24"/>
        </w:rPr>
        <w:t>Legal Division</w:t>
      </w:r>
    </w:p>
    <w:p w14:paraId="4C0FD7C9" w14:textId="77777777" w:rsidR="0056737C" w:rsidRPr="00596371" w:rsidRDefault="0056737C" w:rsidP="0056737C">
      <w:pPr>
        <w:tabs>
          <w:tab w:val="left" w:pos="1440"/>
        </w:tabs>
        <w:spacing w:before="480" w:after="0" w:line="240" w:lineRule="auto"/>
        <w:rPr>
          <w:rFonts w:ascii="Times New Roman" w:hAnsi="Times New Roman" w:cs="Times New Roman"/>
          <w:color w:val="000000" w:themeColor="text1"/>
          <w:sz w:val="24"/>
          <w:szCs w:val="24"/>
        </w:rPr>
      </w:pPr>
      <w:r w:rsidRPr="00596371">
        <w:rPr>
          <w:rFonts w:ascii="Times New Roman" w:hAnsi="Times New Roman" w:cs="Times New Roman"/>
          <w:b/>
          <w:color w:val="000000" w:themeColor="text1"/>
          <w:sz w:val="24"/>
          <w:szCs w:val="24"/>
        </w:rPr>
        <w:t>From:</w:t>
      </w:r>
      <w:r w:rsidRPr="00596371">
        <w:rPr>
          <w:rFonts w:ascii="Times New Roman" w:hAnsi="Times New Roman" w:cs="Times New Roman"/>
          <w:color w:val="000000" w:themeColor="text1"/>
          <w:sz w:val="24"/>
          <w:szCs w:val="24"/>
        </w:rPr>
        <w:tab/>
      </w:r>
      <w:r w:rsidR="00AC2AE0" w:rsidRPr="00596371">
        <w:rPr>
          <w:rFonts w:ascii="Times New Roman" w:hAnsi="Times New Roman" w:cs="Times New Roman"/>
          <w:color w:val="000000" w:themeColor="text1"/>
          <w:sz w:val="24"/>
          <w:szCs w:val="24"/>
        </w:rPr>
        <w:t>Nabaraj Pokharel</w:t>
      </w:r>
      <w:r w:rsidRPr="00596371">
        <w:rPr>
          <w:rFonts w:ascii="Times New Roman" w:hAnsi="Times New Roman" w:cs="Times New Roman"/>
          <w:color w:val="000000" w:themeColor="text1"/>
          <w:sz w:val="24"/>
          <w:szCs w:val="24"/>
        </w:rPr>
        <w:t>, Engineering Specialist</w:t>
      </w:r>
    </w:p>
    <w:p w14:paraId="16D61164" w14:textId="74E30732" w:rsidR="0056737C" w:rsidRPr="00596371" w:rsidRDefault="00C07E95" w:rsidP="0056737C">
      <w:pPr>
        <w:spacing w:after="240" w:line="240" w:lineRule="auto"/>
        <w:ind w:left="1440"/>
        <w:contextualSpacing/>
        <w:rPr>
          <w:rFonts w:ascii="Times New Roman" w:hAnsi="Times New Roman" w:cs="Times New Roman"/>
          <w:color w:val="000000" w:themeColor="text1"/>
          <w:sz w:val="24"/>
          <w:szCs w:val="24"/>
        </w:rPr>
      </w:pPr>
      <w:r w:rsidRPr="00596371">
        <w:rPr>
          <w:rFonts w:ascii="Times New Roman" w:hAnsi="Times New Roman" w:cs="Times New Roman"/>
          <w:color w:val="000000" w:themeColor="text1"/>
          <w:sz w:val="24"/>
          <w:szCs w:val="24"/>
        </w:rPr>
        <w:t>Infrastructure</w:t>
      </w:r>
      <w:r w:rsidR="0056737C" w:rsidRPr="00596371">
        <w:rPr>
          <w:rFonts w:ascii="Times New Roman" w:hAnsi="Times New Roman" w:cs="Times New Roman"/>
          <w:color w:val="000000" w:themeColor="text1"/>
          <w:sz w:val="24"/>
          <w:szCs w:val="24"/>
        </w:rPr>
        <w:t xml:space="preserve"> Division</w:t>
      </w:r>
    </w:p>
    <w:p w14:paraId="2D65D4DD" w14:textId="1D18CA60" w:rsidR="0056737C" w:rsidRPr="00596371" w:rsidRDefault="0056737C" w:rsidP="0056737C">
      <w:pPr>
        <w:tabs>
          <w:tab w:val="left" w:pos="1440"/>
          <w:tab w:val="right" w:pos="9360"/>
        </w:tabs>
        <w:spacing w:before="480" w:after="240" w:line="240" w:lineRule="auto"/>
        <w:rPr>
          <w:rFonts w:ascii="Times New Roman" w:hAnsi="Times New Roman" w:cs="Times New Roman"/>
          <w:color w:val="000000" w:themeColor="text1"/>
          <w:sz w:val="24"/>
          <w:szCs w:val="24"/>
        </w:rPr>
      </w:pPr>
      <w:r w:rsidRPr="00596371">
        <w:rPr>
          <w:rFonts w:ascii="Times New Roman" w:hAnsi="Times New Roman" w:cs="Times New Roman"/>
          <w:b/>
          <w:color w:val="000000" w:themeColor="text1"/>
          <w:sz w:val="24"/>
          <w:szCs w:val="24"/>
        </w:rPr>
        <w:t>Date:</w:t>
      </w:r>
      <w:r w:rsidR="00D0554D">
        <w:rPr>
          <w:rFonts w:ascii="Times New Roman" w:hAnsi="Times New Roman" w:cs="Times New Roman"/>
          <w:color w:val="000000" w:themeColor="text1"/>
          <w:sz w:val="24"/>
          <w:szCs w:val="24"/>
        </w:rPr>
        <w:t xml:space="preserve"> </w:t>
      </w:r>
      <w:r w:rsidRPr="00596371">
        <w:rPr>
          <w:rFonts w:ascii="Times New Roman" w:hAnsi="Times New Roman" w:cs="Times New Roman"/>
          <w:color w:val="000000" w:themeColor="text1"/>
          <w:sz w:val="24"/>
          <w:szCs w:val="24"/>
        </w:rPr>
        <w:tab/>
      </w:r>
      <w:r w:rsidR="00A328AE">
        <w:rPr>
          <w:rFonts w:ascii="Times New Roman" w:hAnsi="Times New Roman" w:cs="Times New Roman"/>
          <w:color w:val="000000" w:themeColor="text1"/>
          <w:sz w:val="24"/>
          <w:szCs w:val="24"/>
        </w:rPr>
        <w:t xml:space="preserve">December </w:t>
      </w:r>
      <w:r w:rsidR="00373375">
        <w:rPr>
          <w:rFonts w:ascii="Times New Roman" w:hAnsi="Times New Roman" w:cs="Times New Roman"/>
          <w:color w:val="000000" w:themeColor="text1"/>
          <w:sz w:val="24"/>
          <w:szCs w:val="24"/>
        </w:rPr>
        <w:t>10</w:t>
      </w:r>
      <w:r w:rsidR="00A328AE">
        <w:rPr>
          <w:rFonts w:ascii="Times New Roman" w:hAnsi="Times New Roman" w:cs="Times New Roman"/>
          <w:color w:val="000000" w:themeColor="text1"/>
          <w:sz w:val="24"/>
          <w:szCs w:val="24"/>
        </w:rPr>
        <w:t>, 2019</w:t>
      </w:r>
    </w:p>
    <w:p w14:paraId="495D2835" w14:textId="5B188A08" w:rsidR="00AC2AE0" w:rsidRPr="00596371" w:rsidRDefault="0056737C" w:rsidP="00AC2AE0">
      <w:pPr>
        <w:tabs>
          <w:tab w:val="left" w:pos="1440"/>
        </w:tabs>
        <w:spacing w:after="0" w:line="240" w:lineRule="auto"/>
        <w:ind w:left="1440" w:hanging="1440"/>
        <w:jc w:val="both"/>
        <w:rPr>
          <w:rFonts w:ascii="Times New Roman" w:hAnsi="Times New Roman" w:cs="Times New Roman"/>
          <w:color w:val="000000" w:themeColor="text1"/>
          <w:sz w:val="24"/>
          <w:szCs w:val="24"/>
        </w:rPr>
      </w:pPr>
      <w:r w:rsidRPr="00596371">
        <w:rPr>
          <w:rFonts w:ascii="Times New Roman" w:hAnsi="Times New Roman" w:cs="Times New Roman"/>
          <w:b/>
          <w:color w:val="000000" w:themeColor="text1"/>
          <w:sz w:val="24"/>
          <w:szCs w:val="24"/>
        </w:rPr>
        <w:t>Subject:</w:t>
      </w:r>
      <w:r w:rsidRPr="00596371">
        <w:rPr>
          <w:rFonts w:ascii="Times New Roman" w:hAnsi="Times New Roman" w:cs="Times New Roman"/>
          <w:b/>
          <w:color w:val="000000" w:themeColor="text1"/>
          <w:sz w:val="24"/>
          <w:szCs w:val="24"/>
        </w:rPr>
        <w:tab/>
        <w:t xml:space="preserve">Docket </w:t>
      </w:r>
      <w:r w:rsidR="00404277">
        <w:rPr>
          <w:rFonts w:ascii="Times New Roman" w:hAnsi="Times New Roman" w:cs="Times New Roman"/>
          <w:b/>
          <w:color w:val="000000" w:themeColor="text1"/>
          <w:sz w:val="24"/>
          <w:szCs w:val="24"/>
        </w:rPr>
        <w:t>50249</w:t>
      </w:r>
      <w:r w:rsidR="005B199F" w:rsidRPr="00000EC0">
        <w:rPr>
          <w:rFonts w:ascii="Times New Roman" w:hAnsi="Times New Roman" w:cs="Times New Roman"/>
          <w:b/>
          <w:i/>
          <w:color w:val="000000" w:themeColor="text1"/>
          <w:sz w:val="24"/>
          <w:szCs w:val="24"/>
        </w:rPr>
        <w:t>,</w:t>
      </w:r>
      <w:r w:rsidRPr="00000EC0">
        <w:rPr>
          <w:rFonts w:ascii="Times New Roman" w:hAnsi="Times New Roman" w:cs="Times New Roman"/>
          <w:i/>
          <w:color w:val="000000" w:themeColor="text1"/>
          <w:sz w:val="24"/>
          <w:szCs w:val="24"/>
        </w:rPr>
        <w:t xml:space="preserve"> </w:t>
      </w:r>
      <w:r w:rsidR="002C61B2" w:rsidRPr="00000EC0">
        <w:rPr>
          <w:rFonts w:ascii="Times New Roman" w:hAnsi="Times New Roman" w:cs="Times New Roman"/>
          <w:i/>
          <w:color w:val="000000" w:themeColor="text1"/>
          <w:sz w:val="24"/>
          <w:szCs w:val="24"/>
        </w:rPr>
        <w:t xml:space="preserve">Application of </w:t>
      </w:r>
      <w:r w:rsidR="00A328AE" w:rsidRPr="00000EC0">
        <w:rPr>
          <w:rFonts w:ascii="Times New Roman" w:hAnsi="Times New Roman" w:cs="Times New Roman"/>
          <w:i/>
          <w:color w:val="333333"/>
          <w:sz w:val="24"/>
          <w:szCs w:val="24"/>
        </w:rPr>
        <w:t>SP Utility Company, Inc.</w:t>
      </w:r>
      <w:r w:rsidR="002C61B2" w:rsidRPr="00000EC0">
        <w:rPr>
          <w:rFonts w:ascii="Times New Roman" w:hAnsi="Times New Roman" w:cs="Times New Roman"/>
          <w:i/>
          <w:color w:val="000000" w:themeColor="text1"/>
          <w:sz w:val="24"/>
          <w:szCs w:val="24"/>
        </w:rPr>
        <w:t xml:space="preserve">to Amend its Certificates of Convenience and Necessity in </w:t>
      </w:r>
      <w:r w:rsidR="00A328AE" w:rsidRPr="00000EC0">
        <w:rPr>
          <w:rFonts w:ascii="Times New Roman" w:hAnsi="Times New Roman" w:cs="Times New Roman"/>
          <w:i/>
          <w:color w:val="000000" w:themeColor="text1"/>
          <w:sz w:val="24"/>
          <w:szCs w:val="24"/>
        </w:rPr>
        <w:t xml:space="preserve">Fort Bend </w:t>
      </w:r>
      <w:r w:rsidR="002C61B2" w:rsidRPr="00000EC0">
        <w:rPr>
          <w:rFonts w:ascii="Times New Roman" w:hAnsi="Times New Roman" w:cs="Times New Roman"/>
          <w:i/>
          <w:color w:val="000000" w:themeColor="text1"/>
          <w:sz w:val="24"/>
          <w:szCs w:val="24"/>
        </w:rPr>
        <w:t>County</w:t>
      </w:r>
      <w:r w:rsidR="002C61B2" w:rsidRPr="00596371">
        <w:rPr>
          <w:rFonts w:ascii="Times New Roman" w:hAnsi="Times New Roman" w:cs="Times New Roman"/>
          <w:color w:val="000000" w:themeColor="text1"/>
          <w:sz w:val="24"/>
          <w:szCs w:val="24"/>
        </w:rPr>
        <w:t xml:space="preserve"> </w:t>
      </w:r>
    </w:p>
    <w:p w14:paraId="5ED9FABE" w14:textId="77777777" w:rsidR="002C61B2" w:rsidRPr="00D015EE" w:rsidRDefault="002C61B2" w:rsidP="00AC2AE0">
      <w:pPr>
        <w:tabs>
          <w:tab w:val="left" w:pos="1440"/>
        </w:tabs>
        <w:spacing w:after="0" w:line="240" w:lineRule="auto"/>
        <w:ind w:left="1440" w:hanging="1440"/>
        <w:jc w:val="both"/>
        <w:rPr>
          <w:rFonts w:ascii="Times New Roman" w:hAnsi="Times New Roman" w:cs="Times New Roman"/>
          <w:color w:val="000000" w:themeColor="text1"/>
          <w:sz w:val="24"/>
          <w:szCs w:val="24"/>
        </w:rPr>
      </w:pPr>
    </w:p>
    <w:p w14:paraId="15DC4622" w14:textId="577447D8" w:rsidR="0056737C" w:rsidRPr="00D015EE" w:rsidRDefault="0056737C" w:rsidP="0056737C">
      <w:pPr>
        <w:autoSpaceDE w:val="0"/>
        <w:autoSpaceDN w:val="0"/>
        <w:adjustRightInd w:val="0"/>
        <w:spacing w:after="0" w:line="240" w:lineRule="auto"/>
        <w:jc w:val="both"/>
        <w:rPr>
          <w:rFonts w:ascii="Times New Roman" w:hAnsi="Times New Roman" w:cs="Times New Roman"/>
          <w:color w:val="000000" w:themeColor="text1"/>
          <w:sz w:val="24"/>
          <w:szCs w:val="24"/>
        </w:rPr>
      </w:pPr>
      <w:r w:rsidRPr="00D015EE">
        <w:rPr>
          <w:rFonts w:ascii="Times New Roman" w:hAnsi="Times New Roman" w:cs="Times New Roman"/>
          <w:color w:val="000000" w:themeColor="text1"/>
          <w:sz w:val="24"/>
          <w:szCs w:val="24"/>
        </w:rPr>
        <w:t xml:space="preserve">On </w:t>
      </w:r>
      <w:r w:rsidR="00A328AE" w:rsidRPr="00D015EE">
        <w:rPr>
          <w:rFonts w:ascii="Times New Roman" w:hAnsi="Times New Roman" w:cs="Times New Roman"/>
          <w:color w:val="000000" w:themeColor="text1"/>
          <w:sz w:val="24"/>
          <w:szCs w:val="24"/>
        </w:rPr>
        <w:t>November 18</w:t>
      </w:r>
      <w:r w:rsidR="00AC2AE0" w:rsidRPr="00D015EE">
        <w:rPr>
          <w:rFonts w:ascii="Times New Roman" w:hAnsi="Times New Roman" w:cs="Times New Roman"/>
          <w:color w:val="000000" w:themeColor="text1"/>
          <w:sz w:val="24"/>
          <w:szCs w:val="24"/>
        </w:rPr>
        <w:t>, 2019</w:t>
      </w:r>
      <w:r w:rsidRPr="00D015EE">
        <w:rPr>
          <w:rFonts w:ascii="Times New Roman" w:hAnsi="Times New Roman" w:cs="Times New Roman"/>
          <w:color w:val="000000" w:themeColor="text1"/>
          <w:sz w:val="24"/>
          <w:szCs w:val="24"/>
        </w:rPr>
        <w:t xml:space="preserve">, </w:t>
      </w:r>
      <w:r w:rsidR="00A328AE" w:rsidRPr="00D015EE">
        <w:rPr>
          <w:rFonts w:ascii="Times New Roman" w:hAnsi="Times New Roman" w:cs="Times New Roman"/>
          <w:color w:val="333333"/>
          <w:sz w:val="24"/>
          <w:szCs w:val="24"/>
        </w:rPr>
        <w:t>SP Utility Company, Inc</w:t>
      </w:r>
      <w:r w:rsidR="00A328AE" w:rsidRPr="00D015EE" w:rsidDel="00A328AE">
        <w:rPr>
          <w:rFonts w:ascii="Times New Roman" w:hAnsi="Times New Roman" w:cs="Times New Roman"/>
          <w:color w:val="000000" w:themeColor="text1"/>
          <w:sz w:val="24"/>
          <w:szCs w:val="24"/>
        </w:rPr>
        <w:t xml:space="preserve"> </w:t>
      </w:r>
      <w:r w:rsidR="00AC2AE0" w:rsidRPr="00D015EE">
        <w:rPr>
          <w:rFonts w:ascii="Times New Roman" w:hAnsi="Times New Roman" w:cs="Times New Roman"/>
          <w:color w:val="000000" w:themeColor="text1"/>
          <w:sz w:val="24"/>
          <w:szCs w:val="24"/>
        </w:rPr>
        <w:t>(</w:t>
      </w:r>
      <w:r w:rsidR="000E5091">
        <w:rPr>
          <w:rFonts w:ascii="Times New Roman" w:hAnsi="Times New Roman" w:cs="Times New Roman"/>
          <w:color w:val="000000" w:themeColor="text1"/>
          <w:sz w:val="24"/>
          <w:szCs w:val="24"/>
        </w:rPr>
        <w:t>SPUC</w:t>
      </w:r>
      <w:r w:rsidRPr="00D015EE">
        <w:rPr>
          <w:rFonts w:ascii="Times New Roman" w:hAnsi="Times New Roman" w:cs="Times New Roman"/>
          <w:color w:val="000000" w:themeColor="text1"/>
          <w:sz w:val="24"/>
          <w:szCs w:val="24"/>
        </w:rPr>
        <w:t>) filed with the Public Utility Commission of Texas (</w:t>
      </w:r>
      <w:r w:rsidRPr="00D015EE">
        <w:rPr>
          <w:rFonts w:ascii="Times New Roman" w:hAnsi="Times New Roman" w:cs="Times New Roman"/>
          <w:bCs/>
          <w:color w:val="000000" w:themeColor="text1"/>
          <w:sz w:val="24"/>
          <w:szCs w:val="24"/>
        </w:rPr>
        <w:t xml:space="preserve">Commission) an application to amend </w:t>
      </w:r>
      <w:r w:rsidRPr="00D015EE">
        <w:rPr>
          <w:rFonts w:ascii="Times New Roman" w:hAnsi="Times New Roman" w:cs="Times New Roman"/>
          <w:color w:val="000000" w:themeColor="text1"/>
          <w:sz w:val="24"/>
          <w:szCs w:val="24"/>
        </w:rPr>
        <w:t xml:space="preserve">its </w:t>
      </w:r>
      <w:r w:rsidR="002C61B2" w:rsidRPr="00D015EE">
        <w:rPr>
          <w:rFonts w:ascii="Times New Roman" w:hAnsi="Times New Roman" w:cs="Times New Roman"/>
          <w:color w:val="000000" w:themeColor="text1"/>
          <w:sz w:val="24"/>
          <w:szCs w:val="24"/>
        </w:rPr>
        <w:t xml:space="preserve">water </w:t>
      </w:r>
      <w:r w:rsidR="005053B8" w:rsidRPr="00D015EE">
        <w:rPr>
          <w:rFonts w:ascii="Times New Roman" w:hAnsi="Times New Roman" w:cs="Times New Roman"/>
          <w:color w:val="000000" w:themeColor="text1"/>
          <w:sz w:val="24"/>
          <w:szCs w:val="24"/>
        </w:rPr>
        <w:t>Certificate of Convenience and Necessity (</w:t>
      </w:r>
      <w:r w:rsidRPr="00D015EE">
        <w:rPr>
          <w:rFonts w:ascii="Times New Roman" w:hAnsi="Times New Roman" w:cs="Times New Roman"/>
          <w:color w:val="000000" w:themeColor="text1"/>
          <w:sz w:val="24"/>
          <w:szCs w:val="24"/>
        </w:rPr>
        <w:t>CCN</w:t>
      </w:r>
      <w:r w:rsidR="005053B8" w:rsidRPr="00D015EE">
        <w:rPr>
          <w:rFonts w:ascii="Times New Roman" w:hAnsi="Times New Roman" w:cs="Times New Roman"/>
          <w:color w:val="000000" w:themeColor="text1"/>
          <w:sz w:val="24"/>
          <w:szCs w:val="24"/>
        </w:rPr>
        <w:t>)</w:t>
      </w:r>
      <w:r w:rsidRPr="00D015EE">
        <w:rPr>
          <w:rFonts w:ascii="Times New Roman" w:hAnsi="Times New Roman" w:cs="Times New Roman"/>
          <w:color w:val="000000" w:themeColor="text1"/>
          <w:sz w:val="24"/>
          <w:szCs w:val="24"/>
        </w:rPr>
        <w:t xml:space="preserve"> No. </w:t>
      </w:r>
      <w:r w:rsidR="00A328AE" w:rsidRPr="00D015EE">
        <w:rPr>
          <w:rFonts w:ascii="Times New Roman" w:hAnsi="Times New Roman" w:cs="Times New Roman"/>
          <w:color w:val="000000" w:themeColor="text1"/>
          <w:sz w:val="24"/>
          <w:szCs w:val="24"/>
        </w:rPr>
        <w:t>12978</w:t>
      </w:r>
      <w:r w:rsidR="002C61B2" w:rsidRPr="00D015EE">
        <w:rPr>
          <w:rFonts w:ascii="Times New Roman" w:hAnsi="Times New Roman" w:cs="Times New Roman"/>
          <w:color w:val="000000" w:themeColor="text1"/>
          <w:sz w:val="24"/>
          <w:szCs w:val="24"/>
        </w:rPr>
        <w:t xml:space="preserve"> </w:t>
      </w:r>
      <w:r w:rsidRPr="00D015EE">
        <w:rPr>
          <w:rFonts w:ascii="Times New Roman" w:hAnsi="Times New Roman" w:cs="Times New Roman"/>
          <w:color w:val="000000" w:themeColor="text1"/>
          <w:sz w:val="24"/>
          <w:szCs w:val="24"/>
        </w:rPr>
        <w:t xml:space="preserve">in </w:t>
      </w:r>
      <w:r w:rsidR="00A328AE" w:rsidRPr="00D015EE">
        <w:rPr>
          <w:rFonts w:ascii="Times New Roman" w:hAnsi="Times New Roman" w:cs="Times New Roman"/>
          <w:color w:val="000000" w:themeColor="text1"/>
          <w:sz w:val="24"/>
          <w:szCs w:val="24"/>
        </w:rPr>
        <w:t>Fort Bend</w:t>
      </w:r>
      <w:r w:rsidR="002C61B2" w:rsidRPr="00D015EE">
        <w:rPr>
          <w:rFonts w:ascii="Times New Roman" w:hAnsi="Times New Roman" w:cs="Times New Roman"/>
          <w:color w:val="000000" w:themeColor="text1"/>
          <w:sz w:val="24"/>
          <w:szCs w:val="24"/>
        </w:rPr>
        <w:t xml:space="preserve"> </w:t>
      </w:r>
      <w:r w:rsidRPr="00D015EE">
        <w:rPr>
          <w:rFonts w:ascii="Times New Roman" w:hAnsi="Times New Roman" w:cs="Times New Roman"/>
          <w:color w:val="000000" w:themeColor="text1"/>
          <w:sz w:val="24"/>
          <w:szCs w:val="24"/>
        </w:rPr>
        <w:t xml:space="preserve">County, Texas pursuant to Texas Water Code Ann. (TWC) §§ 13.242 </w:t>
      </w:r>
      <w:r w:rsidR="006B5E05" w:rsidRPr="00D015EE">
        <w:rPr>
          <w:rFonts w:ascii="Times New Roman" w:hAnsi="Times New Roman" w:cs="Times New Roman"/>
          <w:color w:val="000000" w:themeColor="text1"/>
          <w:sz w:val="24"/>
          <w:szCs w:val="24"/>
        </w:rPr>
        <w:t xml:space="preserve">- </w:t>
      </w:r>
      <w:r w:rsidRPr="00D015EE">
        <w:rPr>
          <w:rFonts w:ascii="Times New Roman" w:hAnsi="Times New Roman" w:cs="Times New Roman"/>
          <w:color w:val="000000" w:themeColor="text1"/>
          <w:sz w:val="24"/>
          <w:szCs w:val="24"/>
        </w:rPr>
        <w:t>13.250 and 16 Tex</w:t>
      </w:r>
      <w:r w:rsidR="00775169" w:rsidRPr="00D015EE">
        <w:rPr>
          <w:rFonts w:ascii="Times New Roman" w:hAnsi="Times New Roman" w:cs="Times New Roman"/>
          <w:color w:val="000000" w:themeColor="text1"/>
          <w:sz w:val="24"/>
          <w:szCs w:val="24"/>
        </w:rPr>
        <w:t>as</w:t>
      </w:r>
      <w:r w:rsidRPr="00D015EE">
        <w:rPr>
          <w:rFonts w:ascii="Times New Roman" w:hAnsi="Times New Roman" w:cs="Times New Roman"/>
          <w:color w:val="000000" w:themeColor="text1"/>
          <w:sz w:val="24"/>
          <w:szCs w:val="24"/>
        </w:rPr>
        <w:t xml:space="preserve"> Admin</w:t>
      </w:r>
      <w:r w:rsidR="00775169" w:rsidRPr="00D015EE">
        <w:rPr>
          <w:rFonts w:ascii="Times New Roman" w:hAnsi="Times New Roman" w:cs="Times New Roman"/>
          <w:color w:val="000000" w:themeColor="text1"/>
          <w:sz w:val="24"/>
          <w:szCs w:val="24"/>
        </w:rPr>
        <w:t>istrative</w:t>
      </w:r>
      <w:r w:rsidRPr="00D015EE">
        <w:rPr>
          <w:rFonts w:ascii="Times New Roman" w:hAnsi="Times New Roman" w:cs="Times New Roman"/>
          <w:color w:val="000000" w:themeColor="text1"/>
          <w:sz w:val="24"/>
          <w:szCs w:val="24"/>
        </w:rPr>
        <w:t xml:space="preserve"> Code (TAC) §§ 24.</w:t>
      </w:r>
      <w:r w:rsidR="00B10643" w:rsidRPr="00D015EE">
        <w:rPr>
          <w:rFonts w:ascii="Times New Roman" w:hAnsi="Times New Roman" w:cs="Times New Roman"/>
          <w:color w:val="000000" w:themeColor="text1"/>
          <w:sz w:val="24"/>
          <w:szCs w:val="24"/>
        </w:rPr>
        <w:t>225</w:t>
      </w:r>
      <w:r w:rsidRPr="00D015EE">
        <w:rPr>
          <w:rFonts w:ascii="Times New Roman" w:hAnsi="Times New Roman" w:cs="Times New Roman"/>
          <w:color w:val="000000" w:themeColor="text1"/>
          <w:sz w:val="24"/>
          <w:szCs w:val="24"/>
        </w:rPr>
        <w:t xml:space="preserve"> to 24.</w:t>
      </w:r>
      <w:r w:rsidR="00B10643" w:rsidRPr="00D015EE">
        <w:rPr>
          <w:rFonts w:ascii="Times New Roman" w:hAnsi="Times New Roman" w:cs="Times New Roman"/>
          <w:color w:val="000000" w:themeColor="text1"/>
          <w:sz w:val="24"/>
          <w:szCs w:val="24"/>
        </w:rPr>
        <w:t>237</w:t>
      </w:r>
      <w:r w:rsidRPr="00D015EE">
        <w:rPr>
          <w:rFonts w:ascii="Times New Roman" w:hAnsi="Times New Roman" w:cs="Times New Roman"/>
          <w:color w:val="000000" w:themeColor="text1"/>
          <w:sz w:val="24"/>
          <w:szCs w:val="24"/>
        </w:rPr>
        <w:t xml:space="preserve">. </w:t>
      </w:r>
    </w:p>
    <w:p w14:paraId="3E7B47C4" w14:textId="77777777" w:rsidR="0056737C" w:rsidRPr="00D015EE" w:rsidRDefault="0056737C" w:rsidP="0056737C">
      <w:pPr>
        <w:autoSpaceDE w:val="0"/>
        <w:autoSpaceDN w:val="0"/>
        <w:adjustRightInd w:val="0"/>
        <w:spacing w:after="0" w:line="240" w:lineRule="auto"/>
        <w:jc w:val="both"/>
        <w:rPr>
          <w:rFonts w:ascii="Times New Roman" w:hAnsi="Times New Roman" w:cs="Times New Roman"/>
          <w:bCs/>
          <w:color w:val="000000" w:themeColor="text1"/>
          <w:sz w:val="24"/>
          <w:szCs w:val="24"/>
        </w:rPr>
      </w:pPr>
    </w:p>
    <w:p w14:paraId="02ACBD80" w14:textId="3035D536" w:rsidR="00D015EE" w:rsidRPr="00D015EE" w:rsidRDefault="00D015EE" w:rsidP="00D015EE">
      <w:pPr>
        <w:autoSpaceDE w:val="0"/>
        <w:autoSpaceDN w:val="0"/>
        <w:adjustRightInd w:val="0"/>
        <w:jc w:val="both"/>
        <w:rPr>
          <w:rFonts w:ascii="Times New Roman" w:hAnsi="Times New Roman" w:cs="Times New Roman"/>
          <w:bCs/>
          <w:sz w:val="24"/>
          <w:szCs w:val="24"/>
        </w:rPr>
      </w:pPr>
      <w:r w:rsidRPr="00D015EE">
        <w:rPr>
          <w:rFonts w:ascii="Times New Roman" w:hAnsi="Times New Roman" w:cs="Times New Roman"/>
          <w:bCs/>
          <w:sz w:val="24"/>
          <w:szCs w:val="24"/>
        </w:rPr>
        <w:t>Staff has reviewed the information filed by the applicant and recommends that the application be deemed sufficient for filing and administratively complete.</w:t>
      </w:r>
      <w:r w:rsidR="00D0554D">
        <w:rPr>
          <w:rFonts w:ascii="Times New Roman" w:hAnsi="Times New Roman" w:cs="Times New Roman"/>
          <w:bCs/>
          <w:sz w:val="24"/>
          <w:szCs w:val="24"/>
        </w:rPr>
        <w:t xml:space="preserve"> </w:t>
      </w:r>
      <w:r w:rsidRPr="00D015EE">
        <w:rPr>
          <w:rFonts w:ascii="Times New Roman" w:hAnsi="Times New Roman" w:cs="Times New Roman"/>
          <w:bCs/>
          <w:sz w:val="24"/>
          <w:szCs w:val="24"/>
        </w:rPr>
        <w:t xml:space="preserve">Staff further recommends </w:t>
      </w:r>
      <w:r w:rsidR="000E5091">
        <w:rPr>
          <w:rFonts w:ascii="Times New Roman" w:hAnsi="Times New Roman" w:cs="Times New Roman"/>
          <w:bCs/>
          <w:sz w:val="24"/>
          <w:szCs w:val="24"/>
        </w:rPr>
        <w:t xml:space="preserve">SPUC be </w:t>
      </w:r>
      <w:r w:rsidRPr="00D015EE">
        <w:rPr>
          <w:rFonts w:ascii="Times New Roman" w:hAnsi="Times New Roman" w:cs="Times New Roman"/>
          <w:bCs/>
          <w:sz w:val="24"/>
          <w:szCs w:val="24"/>
        </w:rPr>
        <w:t>ordered to do the following:</w:t>
      </w:r>
    </w:p>
    <w:p w14:paraId="56398047" w14:textId="77777777" w:rsidR="00D015EE" w:rsidRPr="00D015EE" w:rsidRDefault="00D015EE" w:rsidP="00D015EE">
      <w:pPr>
        <w:pStyle w:val="NoSpacing"/>
        <w:numPr>
          <w:ilvl w:val="0"/>
          <w:numId w:val="19"/>
        </w:numPr>
        <w:jc w:val="both"/>
        <w:rPr>
          <w:rFonts w:cs="Times New Roman"/>
          <w:szCs w:val="24"/>
        </w:rPr>
      </w:pPr>
      <w:r w:rsidRPr="00D015EE">
        <w:rPr>
          <w:rFonts w:cs="Times New Roman"/>
          <w:szCs w:val="24"/>
        </w:rPr>
        <w:t>Provide notice of the application to the following:</w:t>
      </w:r>
    </w:p>
    <w:p w14:paraId="76FB0186" w14:textId="77777777" w:rsidR="00D015EE" w:rsidRPr="00D015EE" w:rsidRDefault="00D015EE" w:rsidP="00D015EE">
      <w:pPr>
        <w:pStyle w:val="NoSpacing"/>
        <w:numPr>
          <w:ilvl w:val="1"/>
          <w:numId w:val="19"/>
        </w:numPr>
        <w:ind w:left="1260"/>
        <w:jc w:val="both"/>
        <w:rPr>
          <w:rFonts w:cs="Times New Roman"/>
          <w:szCs w:val="24"/>
        </w:rPr>
      </w:pPr>
      <w:r w:rsidRPr="00D015EE">
        <w:rPr>
          <w:rFonts w:cs="Times New Roman"/>
          <w:szCs w:val="24"/>
        </w:rPr>
        <w:t>cities, districts, and neighboring retail public utilities providing the same utility service whose corporate boundaries or certificated service area are located within two miles from the outer boundary of the requested area;</w:t>
      </w:r>
    </w:p>
    <w:p w14:paraId="16767ACD" w14:textId="77777777" w:rsidR="00D015EE" w:rsidRPr="00D015EE" w:rsidRDefault="00D015EE" w:rsidP="00D015EE">
      <w:pPr>
        <w:pStyle w:val="NoSpacing"/>
        <w:numPr>
          <w:ilvl w:val="1"/>
          <w:numId w:val="19"/>
        </w:numPr>
        <w:ind w:left="1260"/>
        <w:jc w:val="both"/>
        <w:rPr>
          <w:rFonts w:cs="Times New Roman"/>
          <w:szCs w:val="24"/>
        </w:rPr>
      </w:pPr>
      <w:r w:rsidRPr="00D015EE">
        <w:rPr>
          <w:rFonts w:cs="Times New Roman"/>
          <w:szCs w:val="24"/>
        </w:rPr>
        <w:t xml:space="preserve">the county judge of each county that is wholly or partially included in the requested area; </w:t>
      </w:r>
    </w:p>
    <w:p w14:paraId="5A51CD88" w14:textId="77777777" w:rsidR="00D015EE" w:rsidRPr="00D015EE" w:rsidRDefault="00D015EE" w:rsidP="00D015EE">
      <w:pPr>
        <w:pStyle w:val="NoSpacing"/>
        <w:numPr>
          <w:ilvl w:val="1"/>
          <w:numId w:val="19"/>
        </w:numPr>
        <w:ind w:left="1260"/>
        <w:jc w:val="both"/>
        <w:rPr>
          <w:rFonts w:cs="Times New Roman"/>
          <w:szCs w:val="24"/>
        </w:rPr>
      </w:pPr>
      <w:r w:rsidRPr="00D015EE">
        <w:rPr>
          <w:rFonts w:cs="Times New Roman"/>
          <w:szCs w:val="24"/>
        </w:rPr>
        <w:t>each groundwater conservation district that is wholly or partially included in the requested area; and</w:t>
      </w:r>
    </w:p>
    <w:p w14:paraId="0F46CA0D" w14:textId="1C415143" w:rsidR="00D015EE" w:rsidRPr="00373375" w:rsidRDefault="00D015EE" w:rsidP="00D015EE">
      <w:pPr>
        <w:pStyle w:val="NoSpacing"/>
        <w:numPr>
          <w:ilvl w:val="1"/>
          <w:numId w:val="19"/>
        </w:numPr>
        <w:ind w:left="1260"/>
        <w:jc w:val="both"/>
        <w:rPr>
          <w:rFonts w:eastAsia="Calibri" w:cs="Times New Roman"/>
          <w:szCs w:val="24"/>
        </w:rPr>
      </w:pPr>
      <w:r w:rsidRPr="00D015EE">
        <w:rPr>
          <w:rFonts w:cs="Times New Roman"/>
          <w:szCs w:val="24"/>
        </w:rPr>
        <w:t>publish notice once each week for two consecutive weeks in a newspaper of general circulation in Denton and Collin Counties.</w:t>
      </w:r>
    </w:p>
    <w:p w14:paraId="202DECEB" w14:textId="77777777" w:rsidR="00373375" w:rsidRPr="00D015EE" w:rsidRDefault="00373375" w:rsidP="00373375">
      <w:pPr>
        <w:pStyle w:val="NoSpacing"/>
        <w:ind w:left="1260"/>
        <w:jc w:val="both"/>
        <w:rPr>
          <w:rFonts w:eastAsia="Calibri" w:cs="Times New Roman"/>
          <w:szCs w:val="24"/>
        </w:rPr>
      </w:pPr>
    </w:p>
    <w:p w14:paraId="1775F386" w14:textId="28F81392" w:rsidR="00D015EE" w:rsidRPr="00373375" w:rsidRDefault="00D015EE" w:rsidP="00373375">
      <w:pPr>
        <w:pStyle w:val="ListParagraph"/>
        <w:widowControl w:val="0"/>
        <w:numPr>
          <w:ilvl w:val="0"/>
          <w:numId w:val="19"/>
        </w:numPr>
        <w:tabs>
          <w:tab w:val="left" w:pos="9360"/>
        </w:tabs>
        <w:autoSpaceDE w:val="0"/>
        <w:autoSpaceDN w:val="0"/>
        <w:adjustRightInd w:val="0"/>
        <w:jc w:val="both"/>
        <w:rPr>
          <w:rFonts w:cs="Times New Roman"/>
          <w:szCs w:val="24"/>
        </w:rPr>
      </w:pPr>
      <w:r w:rsidRPr="00373375">
        <w:rPr>
          <w:rFonts w:cs="Times New Roman"/>
          <w:szCs w:val="24"/>
        </w:rPr>
        <w:t>Provide correct notice of the application to the following entities:</w:t>
      </w:r>
    </w:p>
    <w:p w14:paraId="01F79CE9" w14:textId="77777777" w:rsidR="00373375" w:rsidRDefault="00373375" w:rsidP="00373375">
      <w:pPr>
        <w:pStyle w:val="ListParagraph"/>
        <w:widowControl w:val="0"/>
        <w:numPr>
          <w:ilvl w:val="1"/>
          <w:numId w:val="22"/>
        </w:numPr>
        <w:autoSpaceDE w:val="0"/>
        <w:autoSpaceDN w:val="0"/>
        <w:adjustRightInd w:val="0"/>
        <w:spacing w:after="0" w:line="240" w:lineRule="auto"/>
      </w:pPr>
      <w:r>
        <w:t>Aqua Texas Inc (CCN No. 13203)</w:t>
      </w:r>
    </w:p>
    <w:p w14:paraId="134B4F4B" w14:textId="77777777" w:rsidR="00373375" w:rsidRDefault="00373375" w:rsidP="00373375">
      <w:pPr>
        <w:pStyle w:val="ListParagraph"/>
        <w:widowControl w:val="0"/>
        <w:numPr>
          <w:ilvl w:val="1"/>
          <w:numId w:val="22"/>
        </w:numPr>
        <w:autoSpaceDE w:val="0"/>
        <w:autoSpaceDN w:val="0"/>
        <w:adjustRightInd w:val="0"/>
        <w:spacing w:after="0" w:line="240" w:lineRule="auto"/>
      </w:pPr>
      <w:r>
        <w:t>Brazos River Authority</w:t>
      </w:r>
    </w:p>
    <w:p w14:paraId="4B2DB003" w14:textId="77777777" w:rsidR="00373375" w:rsidRDefault="00373375" w:rsidP="00373375">
      <w:pPr>
        <w:pStyle w:val="ListParagraph"/>
        <w:widowControl w:val="0"/>
        <w:numPr>
          <w:ilvl w:val="1"/>
          <w:numId w:val="22"/>
        </w:numPr>
        <w:autoSpaceDE w:val="0"/>
        <w:autoSpaceDN w:val="0"/>
        <w:adjustRightInd w:val="0"/>
        <w:spacing w:after="0" w:line="240" w:lineRule="auto"/>
      </w:pPr>
      <w:r>
        <w:t xml:space="preserve">City of </w:t>
      </w:r>
      <w:proofErr w:type="spellStart"/>
      <w:r>
        <w:t>Fairchilds</w:t>
      </w:r>
      <w:proofErr w:type="spellEnd"/>
    </w:p>
    <w:p w14:paraId="32C643AC" w14:textId="77777777" w:rsidR="00373375" w:rsidRDefault="00373375" w:rsidP="00373375">
      <w:pPr>
        <w:pStyle w:val="ListParagraph"/>
        <w:widowControl w:val="0"/>
        <w:numPr>
          <w:ilvl w:val="1"/>
          <w:numId w:val="22"/>
        </w:numPr>
        <w:autoSpaceDE w:val="0"/>
        <w:autoSpaceDN w:val="0"/>
        <w:adjustRightInd w:val="0"/>
        <w:spacing w:after="0" w:line="240" w:lineRule="auto"/>
      </w:pPr>
      <w:r>
        <w:t xml:space="preserve">City of </w:t>
      </w:r>
      <w:proofErr w:type="spellStart"/>
      <w:r>
        <w:t>Needville</w:t>
      </w:r>
      <w:proofErr w:type="spellEnd"/>
    </w:p>
    <w:p w14:paraId="7B1EFC7D" w14:textId="77777777" w:rsidR="00373375" w:rsidRDefault="00373375" w:rsidP="00373375">
      <w:pPr>
        <w:pStyle w:val="ListParagraph"/>
        <w:widowControl w:val="0"/>
        <w:numPr>
          <w:ilvl w:val="1"/>
          <w:numId w:val="22"/>
        </w:numPr>
        <w:autoSpaceDE w:val="0"/>
        <w:autoSpaceDN w:val="0"/>
        <w:adjustRightInd w:val="0"/>
        <w:spacing w:after="0" w:line="240" w:lineRule="auto"/>
      </w:pPr>
      <w:r>
        <w:t>Fort Bend County Drainage District</w:t>
      </w:r>
    </w:p>
    <w:p w14:paraId="6EC953E6" w14:textId="77777777" w:rsidR="00373375" w:rsidRDefault="00373375" w:rsidP="00373375">
      <w:pPr>
        <w:pStyle w:val="ListParagraph"/>
        <w:widowControl w:val="0"/>
        <w:numPr>
          <w:ilvl w:val="1"/>
          <w:numId w:val="22"/>
        </w:numPr>
        <w:autoSpaceDE w:val="0"/>
        <w:autoSpaceDN w:val="0"/>
        <w:adjustRightInd w:val="0"/>
        <w:spacing w:after="0" w:line="240" w:lineRule="auto"/>
      </w:pPr>
      <w:r>
        <w:t>Fort Bend County Judge</w:t>
      </w:r>
    </w:p>
    <w:p w14:paraId="79CC6758" w14:textId="77777777" w:rsidR="00373375" w:rsidRPr="00373375" w:rsidRDefault="00373375" w:rsidP="00373375">
      <w:pPr>
        <w:pStyle w:val="ListParagraph"/>
        <w:widowControl w:val="0"/>
        <w:numPr>
          <w:ilvl w:val="1"/>
          <w:numId w:val="22"/>
        </w:numPr>
        <w:tabs>
          <w:tab w:val="left" w:pos="9360"/>
        </w:tabs>
        <w:autoSpaceDE w:val="0"/>
        <w:autoSpaceDN w:val="0"/>
        <w:adjustRightInd w:val="0"/>
        <w:spacing w:after="0" w:line="240" w:lineRule="auto"/>
        <w:jc w:val="both"/>
        <w:rPr>
          <w:rFonts w:cs="Times New Roman"/>
          <w:szCs w:val="24"/>
        </w:rPr>
      </w:pPr>
      <w:r>
        <w:t>Fort Bend Subsidence District</w:t>
      </w:r>
    </w:p>
    <w:p w14:paraId="78292971" w14:textId="31A598ED" w:rsidR="00D015EE" w:rsidRPr="00373375" w:rsidRDefault="00373375" w:rsidP="00373375">
      <w:pPr>
        <w:pStyle w:val="ListParagraph"/>
        <w:widowControl w:val="0"/>
        <w:numPr>
          <w:ilvl w:val="1"/>
          <w:numId w:val="22"/>
        </w:numPr>
        <w:tabs>
          <w:tab w:val="left" w:pos="9360"/>
        </w:tabs>
        <w:autoSpaceDE w:val="0"/>
        <w:autoSpaceDN w:val="0"/>
        <w:adjustRightInd w:val="0"/>
        <w:spacing w:after="0" w:line="240" w:lineRule="auto"/>
        <w:jc w:val="both"/>
        <w:rPr>
          <w:rFonts w:cs="Times New Roman"/>
          <w:szCs w:val="24"/>
        </w:rPr>
      </w:pPr>
      <w:r>
        <w:t>Undine Texas LLC (CCN No. 13260)</w:t>
      </w:r>
    </w:p>
    <w:p w14:paraId="38E87C9D" w14:textId="77777777" w:rsidR="00373375" w:rsidRPr="00373375" w:rsidRDefault="00373375" w:rsidP="00373375">
      <w:pPr>
        <w:pStyle w:val="ListParagraph"/>
        <w:widowControl w:val="0"/>
        <w:tabs>
          <w:tab w:val="left" w:pos="9360"/>
        </w:tabs>
        <w:autoSpaceDE w:val="0"/>
        <w:autoSpaceDN w:val="0"/>
        <w:adjustRightInd w:val="0"/>
        <w:spacing w:after="0" w:line="240" w:lineRule="auto"/>
        <w:ind w:left="1440"/>
        <w:jc w:val="both"/>
        <w:rPr>
          <w:rFonts w:cs="Times New Roman"/>
          <w:szCs w:val="24"/>
        </w:rPr>
      </w:pPr>
    </w:p>
    <w:p w14:paraId="5E27D959" w14:textId="28E30D7D" w:rsidR="00D015EE" w:rsidRPr="00D015EE" w:rsidRDefault="00D015EE" w:rsidP="00D015EE">
      <w:pPr>
        <w:autoSpaceDN w:val="0"/>
        <w:ind w:left="720" w:hanging="360"/>
        <w:jc w:val="both"/>
        <w:rPr>
          <w:rFonts w:ascii="Times New Roman" w:eastAsia="Calibri" w:hAnsi="Times New Roman" w:cs="Times New Roman"/>
          <w:sz w:val="24"/>
          <w:szCs w:val="24"/>
        </w:rPr>
      </w:pPr>
      <w:r w:rsidRPr="00D015EE">
        <w:rPr>
          <w:rFonts w:ascii="Times New Roman" w:eastAsia="Calibri" w:hAnsi="Times New Roman" w:cs="Times New Roman"/>
          <w:sz w:val="24"/>
          <w:szCs w:val="24"/>
        </w:rPr>
        <w:t>3)</w:t>
      </w:r>
      <w:r w:rsidRPr="00D015EE">
        <w:rPr>
          <w:rFonts w:ascii="Times New Roman" w:eastAsia="Calibri" w:hAnsi="Times New Roman" w:cs="Times New Roman"/>
          <w:sz w:val="24"/>
          <w:szCs w:val="24"/>
        </w:rPr>
        <w:tab/>
        <w:t>Include an accurate map delineating the requested area with each individual notice to neighboring utilities, landowners and other affected parties.</w:t>
      </w:r>
      <w:r w:rsidR="00D0554D">
        <w:rPr>
          <w:rFonts w:ascii="Times New Roman" w:eastAsia="Calibri" w:hAnsi="Times New Roman" w:cs="Times New Roman"/>
          <w:sz w:val="24"/>
          <w:szCs w:val="24"/>
        </w:rPr>
        <w:t xml:space="preserve"> </w:t>
      </w:r>
      <w:r w:rsidRPr="00D015EE">
        <w:rPr>
          <w:rFonts w:ascii="Times New Roman" w:eastAsia="Calibri" w:hAnsi="Times New Roman" w:cs="Times New Roman"/>
          <w:sz w:val="24"/>
          <w:szCs w:val="24"/>
        </w:rPr>
        <w:t xml:space="preserve">Information related to districts </w:t>
      </w:r>
      <w:r w:rsidRPr="00D015EE">
        <w:rPr>
          <w:rFonts w:ascii="Times New Roman" w:eastAsia="Calibri" w:hAnsi="Times New Roman" w:cs="Times New Roman"/>
          <w:sz w:val="24"/>
          <w:szCs w:val="24"/>
        </w:rPr>
        <w:lastRenderedPageBreak/>
        <w:t xml:space="preserve">including addresses can be obtained from the TCEQ’s web site located at </w:t>
      </w:r>
      <w:r w:rsidR="00A3391D" w:rsidRPr="00000EC0">
        <w:t>http://www14.tceq.texas.gov/iwud/</w:t>
      </w:r>
      <w:r w:rsidRPr="00D015EE">
        <w:rPr>
          <w:rFonts w:ascii="Times New Roman" w:eastAsia="Calibri" w:hAnsi="Times New Roman" w:cs="Times New Roman"/>
          <w:b/>
          <w:i/>
          <w:sz w:val="24"/>
          <w:szCs w:val="24"/>
        </w:rPr>
        <w:t>.</w:t>
      </w:r>
    </w:p>
    <w:p w14:paraId="704CCADE" w14:textId="10E83D51" w:rsidR="00FB7368" w:rsidRPr="00A328AE" w:rsidRDefault="00D015EE" w:rsidP="00373375">
      <w:pPr>
        <w:ind w:left="720" w:hanging="360"/>
        <w:jc w:val="both"/>
        <w:rPr>
          <w:rFonts w:cs="Times New Roman"/>
          <w:color w:val="000000" w:themeColor="text1"/>
          <w:szCs w:val="24"/>
        </w:rPr>
      </w:pPr>
      <w:r w:rsidRPr="00D015EE">
        <w:rPr>
          <w:rFonts w:ascii="Times New Roman" w:hAnsi="Times New Roman" w:cs="Times New Roman"/>
          <w:bCs/>
          <w:sz w:val="24"/>
          <w:szCs w:val="24"/>
        </w:rPr>
        <w:t>4)</w:t>
      </w:r>
      <w:r w:rsidRPr="00D015EE">
        <w:rPr>
          <w:rFonts w:ascii="Times New Roman" w:hAnsi="Times New Roman" w:cs="Times New Roman"/>
          <w:bCs/>
          <w:sz w:val="24"/>
          <w:szCs w:val="24"/>
        </w:rPr>
        <w:tab/>
        <w:t>Within 30 days of the date of the notice, file in the docket an affidavit specifying every person and entity to whom notice was provided, the date that the notice was provided, and the publisher’s affidavit for proof of newspaper publication.</w:t>
      </w:r>
      <w:r w:rsidR="00D0554D">
        <w:rPr>
          <w:rFonts w:ascii="Times New Roman" w:hAnsi="Times New Roman" w:cs="Times New Roman"/>
          <w:bCs/>
          <w:sz w:val="24"/>
          <w:szCs w:val="24"/>
        </w:rPr>
        <w:t xml:space="preserve"> </w:t>
      </w:r>
      <w:r w:rsidRPr="00D015EE">
        <w:rPr>
          <w:rFonts w:ascii="Times New Roman" w:hAnsi="Times New Roman" w:cs="Times New Roman"/>
          <w:bCs/>
          <w:sz w:val="24"/>
          <w:szCs w:val="24"/>
        </w:rPr>
        <w:t xml:space="preserve">It is recommended that </w:t>
      </w:r>
      <w:r w:rsidR="000E5091">
        <w:rPr>
          <w:rFonts w:ascii="Times New Roman" w:hAnsi="Times New Roman" w:cs="Times New Roman"/>
          <w:bCs/>
          <w:sz w:val="24"/>
          <w:szCs w:val="24"/>
        </w:rPr>
        <w:t xml:space="preserve">SPUC </w:t>
      </w:r>
      <w:r w:rsidRPr="00D015EE">
        <w:rPr>
          <w:rFonts w:ascii="Times New Roman" w:hAnsi="Times New Roman" w:cs="Times New Roman"/>
          <w:bCs/>
          <w:sz w:val="24"/>
          <w:szCs w:val="24"/>
        </w:rPr>
        <w:t>use the attached notices and affidavits to meet these requirements.</w:t>
      </w:r>
    </w:p>
    <w:sectPr w:rsidR="00FB7368" w:rsidRPr="00A328AE" w:rsidSect="00000EC0">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2EB82" w14:textId="77777777" w:rsidR="00830815" w:rsidRDefault="00830815" w:rsidP="00A3391D">
      <w:pPr>
        <w:spacing w:after="0" w:line="240" w:lineRule="auto"/>
      </w:pPr>
      <w:r>
        <w:separator/>
      </w:r>
    </w:p>
  </w:endnote>
  <w:endnote w:type="continuationSeparator" w:id="0">
    <w:p w14:paraId="4178FCFD" w14:textId="77777777" w:rsidR="00830815" w:rsidRDefault="00830815" w:rsidP="00A3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48E27" w14:textId="77777777" w:rsidR="00830815" w:rsidRDefault="00830815" w:rsidP="00A3391D">
      <w:pPr>
        <w:spacing w:after="0" w:line="240" w:lineRule="auto"/>
      </w:pPr>
      <w:r>
        <w:separator/>
      </w:r>
    </w:p>
  </w:footnote>
  <w:footnote w:type="continuationSeparator" w:id="0">
    <w:p w14:paraId="24C735CA" w14:textId="77777777" w:rsidR="00830815" w:rsidRDefault="00830815" w:rsidP="00A3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9C30E" w14:textId="0C0E50A4" w:rsidR="00A3391D" w:rsidRPr="00000EC0" w:rsidRDefault="00A3391D" w:rsidP="00A3391D">
    <w:pPr>
      <w:tabs>
        <w:tab w:val="center" w:pos="4680"/>
        <w:tab w:val="right" w:pos="9360"/>
      </w:tabs>
      <w:spacing w:after="0" w:line="240" w:lineRule="auto"/>
      <w:jc w:val="both"/>
      <w:rPr>
        <w:rFonts w:ascii="Times New Roman" w:eastAsia="Times New Roman" w:hAnsi="Times New Roman" w:cs="Times New Roman"/>
        <w:b/>
        <w:noProof/>
        <w:sz w:val="20"/>
        <w:szCs w:val="20"/>
      </w:rPr>
    </w:pPr>
    <w:r w:rsidRPr="00000EC0">
      <w:rPr>
        <w:rFonts w:ascii="Times New Roman" w:eastAsia="Times New Roman" w:hAnsi="Times New Roman" w:cs="Times New Roman"/>
        <w:b/>
        <w:noProof/>
        <w:sz w:val="20"/>
        <w:szCs w:val="20"/>
      </w:rPr>
      <w:t>Docket No. 50249</w:t>
    </w:r>
    <w:r w:rsidRPr="00000EC0">
      <w:rPr>
        <w:rFonts w:ascii="Times New Roman" w:eastAsia="Times New Roman" w:hAnsi="Times New Roman" w:cs="Times New Roman"/>
        <w:b/>
        <w:noProof/>
        <w:sz w:val="20"/>
        <w:szCs w:val="20"/>
      </w:rPr>
      <w:tab/>
    </w:r>
    <w:r w:rsidRPr="00000EC0">
      <w:rPr>
        <w:rFonts w:ascii="Times New Roman" w:eastAsia="Times New Roman" w:hAnsi="Times New Roman" w:cs="Times New Roman"/>
        <w:b/>
        <w:noProof/>
        <w:sz w:val="20"/>
        <w:szCs w:val="20"/>
      </w:rPr>
      <w:tab/>
      <w:t xml:space="preserve">Page </w:t>
    </w:r>
    <w:r w:rsidRPr="00000EC0">
      <w:rPr>
        <w:rFonts w:ascii="Times New Roman" w:eastAsia="Times New Roman" w:hAnsi="Times New Roman" w:cs="Times New Roman"/>
        <w:b/>
        <w:sz w:val="20"/>
        <w:szCs w:val="20"/>
      </w:rPr>
      <w:fldChar w:fldCharType="begin"/>
    </w:r>
    <w:r w:rsidRPr="00000EC0">
      <w:rPr>
        <w:rFonts w:ascii="Times New Roman" w:eastAsia="Times New Roman" w:hAnsi="Times New Roman" w:cs="Times New Roman"/>
        <w:b/>
        <w:sz w:val="20"/>
        <w:szCs w:val="20"/>
      </w:rPr>
      <w:instrText xml:space="preserve"> PAGE </w:instrText>
    </w:r>
    <w:r w:rsidRPr="00000EC0">
      <w:rPr>
        <w:rFonts w:ascii="Times New Roman" w:eastAsia="Times New Roman" w:hAnsi="Times New Roman" w:cs="Times New Roman"/>
        <w:b/>
        <w:sz w:val="20"/>
        <w:szCs w:val="20"/>
      </w:rPr>
      <w:fldChar w:fldCharType="separate"/>
    </w:r>
    <w:r w:rsidRPr="00000EC0">
      <w:rPr>
        <w:rFonts w:ascii="Times New Roman" w:eastAsia="Times New Roman" w:hAnsi="Times New Roman" w:cs="Times New Roman"/>
        <w:b/>
        <w:sz w:val="20"/>
        <w:szCs w:val="20"/>
      </w:rPr>
      <w:t>2</w:t>
    </w:r>
    <w:r w:rsidRPr="00000EC0">
      <w:rPr>
        <w:rFonts w:ascii="Times New Roman" w:eastAsia="Times New Roman" w:hAnsi="Times New Roman" w:cs="Times New Roman"/>
        <w:b/>
        <w:sz w:val="20"/>
        <w:szCs w:val="20"/>
      </w:rPr>
      <w:fldChar w:fldCharType="end"/>
    </w:r>
    <w:r w:rsidRPr="00000EC0">
      <w:rPr>
        <w:rFonts w:ascii="Times New Roman" w:eastAsia="Times New Roman" w:hAnsi="Times New Roman" w:cs="Times New Roman"/>
        <w:b/>
        <w:noProof/>
        <w:sz w:val="20"/>
        <w:szCs w:val="20"/>
      </w:rPr>
      <w:t xml:space="preserve"> of 2</w:t>
    </w:r>
  </w:p>
  <w:p w14:paraId="3349B98D" w14:textId="6016C6B4" w:rsidR="00A3391D" w:rsidRDefault="00A3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 w15:restartNumberingAfterBreak="0">
    <w:nsid w:val="00D10AD6"/>
    <w:multiLevelType w:val="hybridMultilevel"/>
    <w:tmpl w:val="C57A4F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680196D"/>
    <w:multiLevelType w:val="hybridMultilevel"/>
    <w:tmpl w:val="4784282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406E2"/>
    <w:multiLevelType w:val="hybridMultilevel"/>
    <w:tmpl w:val="83945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E4A10"/>
    <w:multiLevelType w:val="hybridMultilevel"/>
    <w:tmpl w:val="7A3A75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EC7D61"/>
    <w:multiLevelType w:val="hybridMultilevel"/>
    <w:tmpl w:val="67EAE1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EAC01D6"/>
    <w:multiLevelType w:val="hybridMultilevel"/>
    <w:tmpl w:val="369A2B36"/>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176F7A"/>
    <w:multiLevelType w:val="hybridMultilevel"/>
    <w:tmpl w:val="C0F40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9567B"/>
    <w:multiLevelType w:val="hybridMultilevel"/>
    <w:tmpl w:val="DBA4D18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13671"/>
    <w:multiLevelType w:val="hybridMultilevel"/>
    <w:tmpl w:val="87101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2710BB"/>
    <w:multiLevelType w:val="hybridMultilevel"/>
    <w:tmpl w:val="B8F63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D81772"/>
    <w:multiLevelType w:val="hybridMultilevel"/>
    <w:tmpl w:val="68109C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6B17E57"/>
    <w:multiLevelType w:val="hybridMultilevel"/>
    <w:tmpl w:val="97BCA96C"/>
    <w:lvl w:ilvl="0" w:tplc="0409000F">
      <w:start w:val="1"/>
      <w:numFmt w:val="decimal"/>
      <w:lvlText w:val="%1."/>
      <w:lvlJc w:val="left"/>
      <w:pPr>
        <w:ind w:left="1440" w:hanging="360"/>
      </w:pPr>
    </w:lvl>
    <w:lvl w:ilvl="1" w:tplc="0DACE65C">
      <w:start w:val="1"/>
      <w:numFmt w:val="lowerLetter"/>
      <w:lvlText w:val="%2."/>
      <w:lvlJc w:val="left"/>
      <w:pPr>
        <w:ind w:left="2160" w:hanging="360"/>
      </w:pPr>
      <w:rPr>
        <w:b/>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D88041D"/>
    <w:multiLevelType w:val="hybridMultilevel"/>
    <w:tmpl w:val="E91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CA0CAC"/>
    <w:multiLevelType w:val="hybridMultilevel"/>
    <w:tmpl w:val="53462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020B84"/>
    <w:multiLevelType w:val="hybridMultilevel"/>
    <w:tmpl w:val="FE22193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74370E"/>
    <w:multiLevelType w:val="hybridMultilevel"/>
    <w:tmpl w:val="C16CED6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3E1CDD"/>
    <w:multiLevelType w:val="hybridMultilevel"/>
    <w:tmpl w:val="E438D0B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8D55EE"/>
    <w:multiLevelType w:val="hybridMultilevel"/>
    <w:tmpl w:val="FAB0C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0"/>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6">
    <w:abstractNumId w:val="3"/>
  </w:num>
  <w:num w:numId="7">
    <w:abstractNumId w:val="1"/>
  </w:num>
  <w:num w:numId="8">
    <w:abstractNumId w:val="15"/>
  </w:num>
  <w:num w:numId="9">
    <w:abstractNumId w:val="20"/>
  </w:num>
  <w:num w:numId="10">
    <w:abstractNumId w:val="6"/>
  </w:num>
  <w:num w:numId="11">
    <w:abstractNumId w:val="8"/>
  </w:num>
  <w:num w:numId="12">
    <w:abstractNumId w:val="19"/>
  </w:num>
  <w:num w:numId="13">
    <w:abstractNumId w:val="18"/>
  </w:num>
  <w:num w:numId="14">
    <w:abstractNumId w:val="17"/>
  </w:num>
  <w:num w:numId="15">
    <w:abstractNumId w:val="9"/>
  </w:num>
  <w:num w:numId="16">
    <w:abstractNumId w:val="5"/>
  </w:num>
  <w:num w:numId="17">
    <w:abstractNumId w:val="12"/>
  </w:num>
  <w:num w:numId="18">
    <w:abstractNumId w:val="7"/>
  </w:num>
  <w:num w:numId="19">
    <w:abstractNumId w:val="10"/>
  </w:num>
  <w:num w:numId="20">
    <w:abstractNumId w:val="16"/>
  </w:num>
  <w:num w:numId="21">
    <w:abstractNumId w:val="13"/>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37C"/>
    <w:rsid w:val="00000EC0"/>
    <w:rsid w:val="0004472E"/>
    <w:rsid w:val="000E5091"/>
    <w:rsid w:val="001063BA"/>
    <w:rsid w:val="00110B29"/>
    <w:rsid w:val="00126DF8"/>
    <w:rsid w:val="001455EE"/>
    <w:rsid w:val="001633DA"/>
    <w:rsid w:val="0017622A"/>
    <w:rsid w:val="001C067D"/>
    <w:rsid w:val="001D3407"/>
    <w:rsid w:val="001D44D3"/>
    <w:rsid w:val="002235A2"/>
    <w:rsid w:val="002879BA"/>
    <w:rsid w:val="002C61B2"/>
    <w:rsid w:val="002D30A4"/>
    <w:rsid w:val="00373375"/>
    <w:rsid w:val="00393FE9"/>
    <w:rsid w:val="003A456E"/>
    <w:rsid w:val="003C7351"/>
    <w:rsid w:val="00404277"/>
    <w:rsid w:val="00425902"/>
    <w:rsid w:val="00477F06"/>
    <w:rsid w:val="004D10EB"/>
    <w:rsid w:val="005053B8"/>
    <w:rsid w:val="00511369"/>
    <w:rsid w:val="00556810"/>
    <w:rsid w:val="0056737C"/>
    <w:rsid w:val="00596371"/>
    <w:rsid w:val="005B199F"/>
    <w:rsid w:val="006318C2"/>
    <w:rsid w:val="006A3F7C"/>
    <w:rsid w:val="006B5E05"/>
    <w:rsid w:val="007421BE"/>
    <w:rsid w:val="00756E05"/>
    <w:rsid w:val="00775169"/>
    <w:rsid w:val="00793CA3"/>
    <w:rsid w:val="0082597E"/>
    <w:rsid w:val="00830815"/>
    <w:rsid w:val="00835D07"/>
    <w:rsid w:val="008B3742"/>
    <w:rsid w:val="009C2490"/>
    <w:rsid w:val="00A007CD"/>
    <w:rsid w:val="00A328AE"/>
    <w:rsid w:val="00A3391D"/>
    <w:rsid w:val="00A942BF"/>
    <w:rsid w:val="00AA57AF"/>
    <w:rsid w:val="00AB066E"/>
    <w:rsid w:val="00AB79C3"/>
    <w:rsid w:val="00AC2AE0"/>
    <w:rsid w:val="00B02778"/>
    <w:rsid w:val="00B10643"/>
    <w:rsid w:val="00B81A67"/>
    <w:rsid w:val="00B84D89"/>
    <w:rsid w:val="00B92FCF"/>
    <w:rsid w:val="00C07E95"/>
    <w:rsid w:val="00CA3A13"/>
    <w:rsid w:val="00CC049D"/>
    <w:rsid w:val="00CD440B"/>
    <w:rsid w:val="00D015EE"/>
    <w:rsid w:val="00D0554D"/>
    <w:rsid w:val="00D4597E"/>
    <w:rsid w:val="00D81149"/>
    <w:rsid w:val="00DB6A65"/>
    <w:rsid w:val="00DD2105"/>
    <w:rsid w:val="00E2394E"/>
    <w:rsid w:val="00F90AAE"/>
    <w:rsid w:val="00FB7368"/>
    <w:rsid w:val="00FF72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A611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6737C"/>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ListParagraph">
    <w:name w:val="List Paragraph"/>
    <w:basedOn w:val="Normal"/>
    <w:uiPriority w:val="34"/>
    <w:qFormat/>
    <w:rsid w:val="0056737C"/>
    <w:pPr>
      <w:spacing w:after="200" w:line="276" w:lineRule="auto"/>
      <w:ind w:left="720"/>
      <w:contextualSpacing/>
    </w:pPr>
    <w:rPr>
      <w:rFonts w:ascii="Times New Roman" w:hAnsi="Times New Roman"/>
      <w:sz w:val="24"/>
    </w:rPr>
  </w:style>
  <w:style w:type="table" w:styleId="TableGrid">
    <w:name w:val="Table Grid"/>
    <w:basedOn w:val="TableNormal"/>
    <w:uiPriority w:val="59"/>
    <w:rsid w:val="003A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2">
    <w:name w:val="Level 2"/>
    <w:basedOn w:val="Normal"/>
    <w:rsid w:val="003A456E"/>
    <w:pPr>
      <w:widowControl w:val="0"/>
      <w:numPr>
        <w:ilvl w:val="1"/>
        <w:numId w:val="5"/>
      </w:numPr>
      <w:autoSpaceDE w:val="0"/>
      <w:autoSpaceDN w:val="0"/>
      <w:adjustRightInd w:val="0"/>
      <w:spacing w:after="0" w:line="240" w:lineRule="auto"/>
      <w:outlineLvl w:val="1"/>
    </w:pPr>
    <w:rPr>
      <w:rFonts w:ascii="Century Gothic" w:eastAsia="Times New Roman" w:hAnsi="Century Gothic" w:cs="Times New Roman"/>
      <w:sz w:val="24"/>
      <w:szCs w:val="24"/>
    </w:rPr>
  </w:style>
  <w:style w:type="paragraph" w:styleId="BalloonText">
    <w:name w:val="Balloon Text"/>
    <w:basedOn w:val="Normal"/>
    <w:link w:val="BalloonTextChar"/>
    <w:uiPriority w:val="99"/>
    <w:semiHidden/>
    <w:unhideWhenUsed/>
    <w:rsid w:val="00477F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7F06"/>
    <w:rPr>
      <w:rFonts w:ascii="Segoe UI" w:hAnsi="Segoe UI" w:cs="Segoe UI"/>
      <w:sz w:val="18"/>
      <w:szCs w:val="18"/>
    </w:rPr>
  </w:style>
  <w:style w:type="paragraph" w:styleId="NoSpacing">
    <w:name w:val="No Spacing"/>
    <w:uiPriority w:val="1"/>
    <w:qFormat/>
    <w:rsid w:val="00A328AE"/>
    <w:pPr>
      <w:spacing w:after="0" w:line="240" w:lineRule="auto"/>
    </w:pPr>
    <w:rPr>
      <w:rFonts w:ascii="Times New Roman" w:hAnsi="Times New Roman"/>
      <w:sz w:val="24"/>
    </w:rPr>
  </w:style>
  <w:style w:type="character" w:styleId="Hyperlink">
    <w:name w:val="Hyperlink"/>
    <w:basedOn w:val="DefaultParagraphFont"/>
    <w:semiHidden/>
    <w:rsid w:val="00D015EE"/>
    <w:rPr>
      <w:color w:val="0000FF"/>
      <w:u w:val="single"/>
    </w:rPr>
  </w:style>
  <w:style w:type="paragraph" w:styleId="Header">
    <w:name w:val="header"/>
    <w:basedOn w:val="Normal"/>
    <w:link w:val="HeaderChar"/>
    <w:uiPriority w:val="99"/>
    <w:unhideWhenUsed/>
    <w:rsid w:val="00A339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391D"/>
  </w:style>
  <w:style w:type="paragraph" w:styleId="Footer">
    <w:name w:val="footer"/>
    <w:basedOn w:val="Normal"/>
    <w:link w:val="FooterChar"/>
    <w:uiPriority w:val="99"/>
    <w:unhideWhenUsed/>
    <w:rsid w:val="00A33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3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02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357</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2019-12-18T20:13:00Z</dcterms:created>
  <dcterms:modified xsi:type="dcterms:W3CDTF">2019-12-18T20:13:00Z</dcterms:modified>
</cp:coreProperties>
</file>